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E1" w:rsidRPr="00D035CF" w:rsidRDefault="004222CE" w:rsidP="00D035CF">
      <w:pPr>
        <w:jc w:val="center"/>
        <w:rPr>
          <w:b/>
          <w:sz w:val="24"/>
        </w:rPr>
      </w:pPr>
      <w:r w:rsidRPr="00D035CF">
        <w:rPr>
          <w:b/>
          <w:sz w:val="24"/>
        </w:rPr>
        <w:t>Spotkanie refleksyjne</w:t>
      </w:r>
    </w:p>
    <w:p w:rsidR="004222CE" w:rsidRPr="00D035CF" w:rsidRDefault="004222CE" w:rsidP="00D035CF">
      <w:pPr>
        <w:jc w:val="center"/>
        <w:rPr>
          <w:sz w:val="24"/>
        </w:rPr>
      </w:pPr>
      <w:r w:rsidRPr="00D035CF">
        <w:rPr>
          <w:sz w:val="24"/>
        </w:rPr>
        <w:t>na temat realizacji LSR i działań LGD „Trakt Piastów”</w:t>
      </w:r>
    </w:p>
    <w:p w:rsidR="004222CE" w:rsidRDefault="004222CE" w:rsidP="00D035CF">
      <w:pPr>
        <w:jc w:val="center"/>
        <w:rPr>
          <w:sz w:val="24"/>
        </w:rPr>
      </w:pPr>
      <w:r w:rsidRPr="00D035CF">
        <w:rPr>
          <w:sz w:val="24"/>
        </w:rPr>
        <w:t xml:space="preserve">21 luty 2018 r., </w:t>
      </w:r>
      <w:r w:rsidR="00D035CF">
        <w:rPr>
          <w:sz w:val="24"/>
        </w:rPr>
        <w:t>Świetlica</w:t>
      </w:r>
      <w:r w:rsidRPr="00D035CF">
        <w:rPr>
          <w:sz w:val="24"/>
        </w:rPr>
        <w:t xml:space="preserve"> Wiejska w Wierzycach</w:t>
      </w:r>
    </w:p>
    <w:p w:rsidR="00D035CF" w:rsidRPr="00852062" w:rsidRDefault="00D035CF" w:rsidP="00602E3D">
      <w:pPr>
        <w:spacing w:after="0" w:line="360" w:lineRule="auto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Program:</w:t>
      </w:r>
    </w:p>
    <w:p w:rsidR="00D035CF" w:rsidRPr="00852062" w:rsidRDefault="00D035CF" w:rsidP="00602E3D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Powitanie uczestników i rozpoczęcie warsztatu.</w:t>
      </w:r>
    </w:p>
    <w:p w:rsidR="00D035CF" w:rsidRDefault="00D035CF" w:rsidP="00602E3D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Prezentacja podsumowująca dotychczasową realizację LSR i działania LGD wraz z komentarzem na temat sytuacji społeczno-gospodarczej obszaru LGD.</w:t>
      </w:r>
    </w:p>
    <w:p w:rsidR="00DC2BD4" w:rsidRPr="00852062" w:rsidRDefault="00DC2BD4" w:rsidP="00602E3D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Przeprowadzenie badania ankietowego wg załącznika.</w:t>
      </w:r>
    </w:p>
    <w:p w:rsidR="00D035CF" w:rsidRPr="00852062" w:rsidRDefault="00D035CF" w:rsidP="00602E3D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Warsztat uwzględniający pytania wskazane w wytycznych oraz poradniku. Odpowiedzi na pytania umieszczone będą w sprawozdaniu z realizacji LSR wokół poniższych pytań:</w:t>
      </w:r>
    </w:p>
    <w:p w:rsidR="00852062" w:rsidRPr="00852062" w:rsidRDefault="00852062" w:rsidP="00852062">
      <w:pPr>
        <w:pStyle w:val="Akapitzlist"/>
        <w:numPr>
          <w:ilvl w:val="1"/>
          <w:numId w:val="9"/>
        </w:numPr>
        <w:spacing w:line="276" w:lineRule="auto"/>
        <w:ind w:left="1560" w:hanging="426"/>
        <w:jc w:val="both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Czy realizacja finansowa i rzeczowa LSR przebiegała zgodnie z planem i można ją uznać za zadowalającą?</w:t>
      </w:r>
    </w:p>
    <w:p w:rsidR="00852062" w:rsidRPr="00852062" w:rsidRDefault="00852062" w:rsidP="00852062">
      <w:pPr>
        <w:pStyle w:val="Akapitzlist"/>
        <w:numPr>
          <w:ilvl w:val="0"/>
          <w:numId w:val="11"/>
        </w:numPr>
        <w:spacing w:line="276" w:lineRule="auto"/>
        <w:ind w:left="1560" w:hanging="142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Jeżeli nie to czy poziom realizacji może negatywnie wpłynąć na realizację celów LSR?</w:t>
      </w:r>
    </w:p>
    <w:p w:rsidR="00852062" w:rsidRPr="00852062" w:rsidRDefault="00852062" w:rsidP="00852062">
      <w:pPr>
        <w:pStyle w:val="Akapitzlist"/>
        <w:numPr>
          <w:ilvl w:val="0"/>
          <w:numId w:val="11"/>
        </w:numPr>
        <w:spacing w:line="276" w:lineRule="auto"/>
        <w:ind w:left="1560" w:hanging="142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Jakie można wskazać przyczyny odstępstw od planu?</w:t>
      </w:r>
    </w:p>
    <w:p w:rsidR="00852062" w:rsidRPr="00852062" w:rsidRDefault="00852062" w:rsidP="00852062">
      <w:pPr>
        <w:pStyle w:val="Akapitzlist"/>
        <w:numPr>
          <w:ilvl w:val="0"/>
          <w:numId w:val="11"/>
        </w:numPr>
        <w:spacing w:after="120" w:line="276" w:lineRule="auto"/>
        <w:ind w:left="1560" w:hanging="142"/>
        <w:contextualSpacing w:val="0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Jakie działania można podjąć, by uniknąć ich w kolejnym roku?</w:t>
      </w:r>
    </w:p>
    <w:p w:rsidR="00852062" w:rsidRPr="00852062" w:rsidRDefault="00852062" w:rsidP="00852062">
      <w:pPr>
        <w:pStyle w:val="Akapitzlist"/>
        <w:numPr>
          <w:ilvl w:val="1"/>
          <w:numId w:val="9"/>
        </w:numPr>
        <w:spacing w:line="276" w:lineRule="auto"/>
        <w:ind w:left="1560" w:hanging="426"/>
        <w:jc w:val="both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Czy jakość projektów wybieranych we wszystkich obszarach tematycznych jest zadowalająca?</w:t>
      </w:r>
    </w:p>
    <w:p w:rsidR="00852062" w:rsidRPr="00852062" w:rsidRDefault="00852062" w:rsidP="00852062">
      <w:pPr>
        <w:pStyle w:val="Akapitzlist"/>
        <w:numPr>
          <w:ilvl w:val="1"/>
          <w:numId w:val="12"/>
        </w:numPr>
        <w:spacing w:line="276" w:lineRule="auto"/>
        <w:ind w:left="1560" w:hanging="142"/>
        <w:jc w:val="both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W jakich obszarach tematycznych jakość wniosków budzi wątpliwość?</w:t>
      </w:r>
    </w:p>
    <w:p w:rsidR="00852062" w:rsidRPr="00852062" w:rsidRDefault="00852062" w:rsidP="00852062">
      <w:pPr>
        <w:pStyle w:val="Akapitzlist"/>
        <w:numPr>
          <w:ilvl w:val="1"/>
          <w:numId w:val="12"/>
        </w:numPr>
        <w:spacing w:line="276" w:lineRule="auto"/>
        <w:ind w:left="1560" w:hanging="142"/>
        <w:jc w:val="both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Jeżeli nie, to jak odbije się to na realizacji celów LSR?</w:t>
      </w:r>
    </w:p>
    <w:p w:rsidR="00852062" w:rsidRPr="00852062" w:rsidRDefault="00852062" w:rsidP="00852062">
      <w:pPr>
        <w:pStyle w:val="Akapitzlist"/>
        <w:numPr>
          <w:ilvl w:val="1"/>
          <w:numId w:val="12"/>
        </w:numPr>
        <w:spacing w:after="120" w:line="276" w:lineRule="auto"/>
        <w:ind w:left="1560" w:hanging="142"/>
        <w:contextualSpacing w:val="0"/>
        <w:jc w:val="both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Co można zrobić by podnieść jakość wniosków?</w:t>
      </w:r>
    </w:p>
    <w:p w:rsidR="00852062" w:rsidRPr="00852062" w:rsidRDefault="00852062" w:rsidP="00852062">
      <w:pPr>
        <w:pStyle w:val="Akapitzlist"/>
        <w:numPr>
          <w:ilvl w:val="1"/>
          <w:numId w:val="9"/>
        </w:numPr>
        <w:spacing w:line="276" w:lineRule="auto"/>
        <w:ind w:left="1560" w:hanging="426"/>
        <w:jc w:val="both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W jakim stopniu stosowane kryteria wyboru projektów spełniają swoją rolę?</w:t>
      </w:r>
    </w:p>
    <w:p w:rsidR="00852062" w:rsidRPr="00852062" w:rsidRDefault="00852062" w:rsidP="00852062">
      <w:pPr>
        <w:pStyle w:val="Akapitzlist"/>
        <w:numPr>
          <w:ilvl w:val="1"/>
          <w:numId w:val="13"/>
        </w:numPr>
        <w:spacing w:line="276" w:lineRule="auto"/>
        <w:ind w:left="1560" w:hanging="142"/>
        <w:jc w:val="both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Czy są jednoznaczne, obiektywne, czy pozwalają wybrać najlepsze wnioski?</w:t>
      </w:r>
    </w:p>
    <w:p w:rsidR="00852062" w:rsidRPr="00852062" w:rsidRDefault="00852062" w:rsidP="00852062">
      <w:pPr>
        <w:pStyle w:val="Akapitzlist"/>
        <w:numPr>
          <w:ilvl w:val="1"/>
          <w:numId w:val="13"/>
        </w:numPr>
        <w:spacing w:line="276" w:lineRule="auto"/>
        <w:ind w:left="1560" w:hanging="142"/>
        <w:jc w:val="both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Czy wnioskodawcy zgłaszają wątpliwości odnośnie kryteriów, jakie?</w:t>
      </w:r>
    </w:p>
    <w:p w:rsidR="00852062" w:rsidRPr="00852062" w:rsidRDefault="00852062" w:rsidP="00852062">
      <w:pPr>
        <w:pStyle w:val="Akapitzlist"/>
        <w:numPr>
          <w:ilvl w:val="1"/>
          <w:numId w:val="13"/>
        </w:numPr>
        <w:spacing w:after="120" w:line="276" w:lineRule="auto"/>
        <w:ind w:left="1560" w:hanging="142"/>
        <w:contextualSpacing w:val="0"/>
        <w:jc w:val="both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Co można zrobić, żeby poprawić katalog kryteriów?</w:t>
      </w:r>
    </w:p>
    <w:p w:rsidR="00852062" w:rsidRPr="00852062" w:rsidRDefault="00852062" w:rsidP="00852062">
      <w:pPr>
        <w:pStyle w:val="Akapitzlist"/>
        <w:numPr>
          <w:ilvl w:val="1"/>
          <w:numId w:val="9"/>
        </w:numPr>
        <w:spacing w:line="276" w:lineRule="auto"/>
        <w:ind w:left="1560" w:hanging="426"/>
        <w:jc w:val="both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Czy z perspektywy wybieranych projektów realizowane w ramach LSR przedsięwzięcia można nadal uznać za adekwatne względem kluczowych potrzeb społeczności z obszaru LGD?</w:t>
      </w:r>
    </w:p>
    <w:p w:rsidR="00852062" w:rsidRPr="00852062" w:rsidRDefault="00852062" w:rsidP="00852062">
      <w:pPr>
        <w:pStyle w:val="Akapitzlist"/>
        <w:numPr>
          <w:ilvl w:val="1"/>
          <w:numId w:val="14"/>
        </w:numPr>
        <w:spacing w:line="276" w:lineRule="auto"/>
        <w:ind w:left="1560" w:hanging="142"/>
        <w:jc w:val="both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Jakie zmiany w sytuacji społeczno-gospodarczej nastąpiły i mogą mieć wpływ na dezaktualizację LSR?</w:t>
      </w:r>
    </w:p>
    <w:p w:rsidR="00852062" w:rsidRPr="00852062" w:rsidRDefault="00852062" w:rsidP="00852062">
      <w:pPr>
        <w:pStyle w:val="Akapitzlist"/>
        <w:numPr>
          <w:ilvl w:val="1"/>
          <w:numId w:val="14"/>
        </w:numPr>
        <w:spacing w:after="120" w:line="276" w:lineRule="auto"/>
        <w:ind w:left="1560" w:hanging="142"/>
        <w:contextualSpacing w:val="0"/>
        <w:jc w:val="both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Czy widać zróżnicowania potrzeb między poszczególnymi gminami? Jakie i jak można na nie zareagować?</w:t>
      </w:r>
    </w:p>
    <w:p w:rsidR="00852062" w:rsidRPr="00852062" w:rsidRDefault="00852062" w:rsidP="00852062">
      <w:pPr>
        <w:pStyle w:val="Akapitzlist"/>
        <w:numPr>
          <w:ilvl w:val="1"/>
          <w:numId w:val="9"/>
        </w:numPr>
        <w:spacing w:line="276" w:lineRule="auto"/>
        <w:ind w:left="1560" w:hanging="426"/>
        <w:jc w:val="both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Czy przyjęty system wskaźników sprawdza się i dostarcza wszystkie potrzebne informacje?</w:t>
      </w:r>
    </w:p>
    <w:p w:rsidR="00852062" w:rsidRPr="00852062" w:rsidRDefault="00852062" w:rsidP="00852062">
      <w:pPr>
        <w:pStyle w:val="Akapitzlist"/>
        <w:numPr>
          <w:ilvl w:val="0"/>
          <w:numId w:val="15"/>
        </w:numPr>
        <w:spacing w:line="276" w:lineRule="auto"/>
        <w:ind w:left="1560" w:hanging="142"/>
        <w:jc w:val="both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Czy zbierane dane są wiarygodne, a źródła trafne?</w:t>
      </w:r>
    </w:p>
    <w:p w:rsidR="00852062" w:rsidRPr="00852062" w:rsidRDefault="00852062" w:rsidP="00852062">
      <w:pPr>
        <w:pStyle w:val="Akapitzlist"/>
        <w:numPr>
          <w:ilvl w:val="0"/>
          <w:numId w:val="15"/>
        </w:numPr>
        <w:spacing w:after="120" w:line="276" w:lineRule="auto"/>
        <w:ind w:left="1560" w:hanging="142"/>
        <w:contextualSpacing w:val="0"/>
        <w:jc w:val="both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Jeśli nie to jakie zmiany można wprowadzić na tym etapie?</w:t>
      </w:r>
    </w:p>
    <w:p w:rsidR="00852062" w:rsidRPr="00852062" w:rsidRDefault="00852062" w:rsidP="00852062">
      <w:pPr>
        <w:pStyle w:val="Akapitzlist"/>
        <w:numPr>
          <w:ilvl w:val="1"/>
          <w:numId w:val="9"/>
        </w:numPr>
        <w:spacing w:line="276" w:lineRule="auto"/>
        <w:ind w:left="1560" w:hanging="426"/>
        <w:jc w:val="both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Czy procedury naboru wyboru i realizacji projektów są przyjazne dla beneficjentów?</w:t>
      </w:r>
    </w:p>
    <w:p w:rsidR="00852062" w:rsidRPr="00852062" w:rsidRDefault="00852062" w:rsidP="00852062">
      <w:pPr>
        <w:pStyle w:val="Akapitzlist"/>
        <w:numPr>
          <w:ilvl w:val="0"/>
          <w:numId w:val="10"/>
        </w:numPr>
        <w:spacing w:line="276" w:lineRule="auto"/>
        <w:ind w:left="1560" w:hanging="142"/>
        <w:jc w:val="both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Jakie zmiany można wprowadzić w procedurach na tym etapie by podnieść ich użyteczność?</w:t>
      </w:r>
    </w:p>
    <w:p w:rsidR="00D035CF" w:rsidRPr="00852062" w:rsidRDefault="00D035CF" w:rsidP="00852062">
      <w:pPr>
        <w:pStyle w:val="Akapitzlist"/>
        <w:numPr>
          <w:ilvl w:val="1"/>
          <w:numId w:val="9"/>
        </w:numPr>
        <w:spacing w:after="0" w:line="360" w:lineRule="auto"/>
        <w:ind w:left="1560" w:hanging="426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Jakie zmiany należy wprowadzić w działaniach LGD, by skuteczniej realizowała cele LSR?</w:t>
      </w:r>
    </w:p>
    <w:p w:rsidR="00D035CF" w:rsidRPr="00852062" w:rsidRDefault="00D035CF" w:rsidP="00602E3D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 xml:space="preserve">Podsumowanie warsztatu refleksyjnego: </w:t>
      </w:r>
    </w:p>
    <w:p w:rsidR="00852062" w:rsidRPr="00852062" w:rsidRDefault="00852062" w:rsidP="00852062">
      <w:pPr>
        <w:pStyle w:val="Akapitzlist"/>
        <w:numPr>
          <w:ilvl w:val="0"/>
          <w:numId w:val="18"/>
        </w:numPr>
        <w:ind w:left="1560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 xml:space="preserve">zebranie wszystkich ustaleń dotyczących koniecznych działań do wdrożenia w kolejnym </w:t>
      </w:r>
      <w:bookmarkStart w:id="0" w:name="_GoBack"/>
      <w:bookmarkEnd w:id="0"/>
      <w:r w:rsidRPr="00852062">
        <w:rPr>
          <w:rFonts w:cstheme="minorHAnsi"/>
          <w:sz w:val="20"/>
          <w:szCs w:val="20"/>
        </w:rPr>
        <w:t>roku. Przypisaniu odpowiedzialności za te zadania poszczególnym osobom oraz tam gdzie możliwe, opisanie policzalnymi wskaźnikami np.:</w:t>
      </w:r>
    </w:p>
    <w:p w:rsidR="00852062" w:rsidRPr="00852062" w:rsidRDefault="00852062" w:rsidP="00852062">
      <w:pPr>
        <w:pStyle w:val="Akapitzlist"/>
        <w:numPr>
          <w:ilvl w:val="0"/>
          <w:numId w:val="18"/>
        </w:numPr>
        <w:ind w:left="1560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 xml:space="preserve">liczba spotkań doradczych do odbycia, </w:t>
      </w:r>
    </w:p>
    <w:p w:rsidR="00852062" w:rsidRPr="00852062" w:rsidRDefault="00852062" w:rsidP="00852062">
      <w:pPr>
        <w:pStyle w:val="Akapitzlist"/>
        <w:numPr>
          <w:ilvl w:val="0"/>
          <w:numId w:val="18"/>
        </w:numPr>
        <w:ind w:left="1560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poziom, do jakiego powinna spaść liczba skarg ze strony beneficjentów,</w:t>
      </w:r>
    </w:p>
    <w:p w:rsidR="00852062" w:rsidRPr="00852062" w:rsidRDefault="00852062" w:rsidP="00852062">
      <w:pPr>
        <w:pStyle w:val="Akapitzlist"/>
        <w:numPr>
          <w:ilvl w:val="0"/>
          <w:numId w:val="18"/>
        </w:numPr>
        <w:ind w:left="1560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 xml:space="preserve">poziom, do jakiego ma spaść liczba wniosków odrzucanych ze względów formalnych, </w:t>
      </w:r>
    </w:p>
    <w:p w:rsidR="00852062" w:rsidRPr="00852062" w:rsidRDefault="00852062" w:rsidP="00852062">
      <w:pPr>
        <w:pStyle w:val="Akapitzlist"/>
        <w:numPr>
          <w:ilvl w:val="0"/>
          <w:numId w:val="18"/>
        </w:numPr>
        <w:ind w:left="1560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poziom, do jakiego ma wzrosnąć rozpoznawalność LGD.</w:t>
      </w:r>
    </w:p>
    <w:p w:rsidR="00D035CF" w:rsidRPr="00852062" w:rsidRDefault="00852062" w:rsidP="00852062">
      <w:pPr>
        <w:pStyle w:val="Akapitzlist"/>
        <w:numPr>
          <w:ilvl w:val="0"/>
          <w:numId w:val="18"/>
        </w:numPr>
        <w:ind w:left="1560"/>
        <w:rPr>
          <w:rFonts w:cstheme="minorHAnsi"/>
          <w:sz w:val="20"/>
          <w:szCs w:val="20"/>
        </w:rPr>
      </w:pPr>
      <w:r w:rsidRPr="00852062">
        <w:rPr>
          <w:rFonts w:cstheme="minorHAnsi"/>
          <w:sz w:val="20"/>
          <w:szCs w:val="20"/>
        </w:rPr>
        <w:t>u</w:t>
      </w:r>
      <w:r w:rsidR="00D035CF" w:rsidRPr="00852062">
        <w:rPr>
          <w:rFonts w:cstheme="minorHAnsi"/>
          <w:sz w:val="20"/>
          <w:szCs w:val="20"/>
        </w:rPr>
        <w:t>mieszczenie wypracowanych informacji w sprawozdaniu z realizacji LSR (część 6 Efekty ewaluacji wewnętrznej)</w:t>
      </w:r>
      <w:r w:rsidR="00602E3D" w:rsidRPr="00852062">
        <w:rPr>
          <w:rFonts w:cstheme="minorHAnsi"/>
          <w:sz w:val="20"/>
          <w:szCs w:val="20"/>
        </w:rPr>
        <w:t>.</w:t>
      </w:r>
    </w:p>
    <w:sectPr w:rsidR="00D035CF" w:rsidRPr="00852062" w:rsidSect="001830D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BCD"/>
    <w:multiLevelType w:val="hybridMultilevel"/>
    <w:tmpl w:val="B0E85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61871"/>
    <w:multiLevelType w:val="hybridMultilevel"/>
    <w:tmpl w:val="A5E4B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0449A"/>
    <w:multiLevelType w:val="hybridMultilevel"/>
    <w:tmpl w:val="4FF871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47EE"/>
    <w:multiLevelType w:val="hybridMultilevel"/>
    <w:tmpl w:val="60CCF5D6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0D">
      <w:start w:val="1"/>
      <w:numFmt w:val="bullet"/>
      <w:lvlText w:val=""/>
      <w:lvlJc w:val="left"/>
      <w:pPr>
        <w:ind w:left="2793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8851FE2"/>
    <w:multiLevelType w:val="hybridMultilevel"/>
    <w:tmpl w:val="A8C074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09BF"/>
    <w:multiLevelType w:val="hybridMultilevel"/>
    <w:tmpl w:val="4A18CC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55401"/>
    <w:multiLevelType w:val="hybridMultilevel"/>
    <w:tmpl w:val="3A96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32D4E6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461E"/>
    <w:multiLevelType w:val="hybridMultilevel"/>
    <w:tmpl w:val="3D36C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A285B"/>
    <w:multiLevelType w:val="hybridMultilevel"/>
    <w:tmpl w:val="C9D2F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56B27"/>
    <w:multiLevelType w:val="hybridMultilevel"/>
    <w:tmpl w:val="C804FA00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D">
      <w:start w:val="1"/>
      <w:numFmt w:val="bullet"/>
      <w:lvlText w:val=""/>
      <w:lvlJc w:val="left"/>
      <w:pPr>
        <w:ind w:left="2508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225E54"/>
    <w:multiLevelType w:val="hybridMultilevel"/>
    <w:tmpl w:val="2FCAD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56AC4"/>
    <w:multiLevelType w:val="hybridMultilevel"/>
    <w:tmpl w:val="347A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249A0"/>
    <w:multiLevelType w:val="hybridMultilevel"/>
    <w:tmpl w:val="7C40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C6F89"/>
    <w:multiLevelType w:val="hybridMultilevel"/>
    <w:tmpl w:val="33442F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61270"/>
    <w:multiLevelType w:val="hybridMultilevel"/>
    <w:tmpl w:val="0D68C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13455"/>
    <w:multiLevelType w:val="hybridMultilevel"/>
    <w:tmpl w:val="BD80623E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0D">
      <w:start w:val="1"/>
      <w:numFmt w:val="bullet"/>
      <w:lvlText w:val=""/>
      <w:lvlJc w:val="left"/>
      <w:pPr>
        <w:ind w:left="2793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23944E7"/>
    <w:multiLevelType w:val="hybridMultilevel"/>
    <w:tmpl w:val="2DA0DA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2489E"/>
    <w:multiLevelType w:val="hybridMultilevel"/>
    <w:tmpl w:val="492A3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"/>
  </w:num>
  <w:num w:numId="5">
    <w:abstractNumId w:val="8"/>
  </w:num>
  <w:num w:numId="6">
    <w:abstractNumId w:val="14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5"/>
  </w:num>
  <w:num w:numId="15">
    <w:abstractNumId w:val="3"/>
  </w:num>
  <w:num w:numId="16">
    <w:abstractNumId w:val="7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CE"/>
    <w:rsid w:val="001830D8"/>
    <w:rsid w:val="004222CE"/>
    <w:rsid w:val="00602E3D"/>
    <w:rsid w:val="00852062"/>
    <w:rsid w:val="00AD13E1"/>
    <w:rsid w:val="00D035CF"/>
    <w:rsid w:val="00D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8B55"/>
  <w15:chartTrackingRefBased/>
  <w15:docId w15:val="{9451AC0E-FEA9-486B-98B8-7CFFF976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D035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0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035CF"/>
    <w:rPr>
      <w:i/>
      <w:iCs/>
    </w:r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rsid w:val="00852062"/>
  </w:style>
  <w:style w:type="paragraph" w:styleId="Tekstdymka">
    <w:name w:val="Balloon Text"/>
    <w:basedOn w:val="Normalny"/>
    <w:link w:val="TekstdymkaZnak"/>
    <w:uiPriority w:val="99"/>
    <w:semiHidden/>
    <w:unhideWhenUsed/>
    <w:rsid w:val="0018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2018-02-15T14:04:00Z</cp:lastPrinted>
  <dcterms:created xsi:type="dcterms:W3CDTF">2018-02-15T13:26:00Z</dcterms:created>
  <dcterms:modified xsi:type="dcterms:W3CDTF">2018-02-19T13:19:00Z</dcterms:modified>
</cp:coreProperties>
</file>